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" ContentType="application/vnd.ms-powerpoi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299" w:rsidRDefault="00865DCF" w:rsidP="00AF3299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3GPP TSG-RAN WG4 Meeting #86bis</w:t>
      </w:r>
      <w:r w:rsidR="00AF329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r w:rsidRPr="00865DCF">
        <w:rPr>
          <w:rFonts w:ascii="Arial" w:hAnsi="Arial" w:cs="Arial"/>
          <w:sz w:val="24"/>
          <w:szCs w:val="24"/>
        </w:rPr>
        <w:t>R4-1805740</w:t>
      </w:r>
      <w:bookmarkEnd w:id="0"/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  <w:r w:rsidR="00AF3299">
        <w:rPr>
          <w:rFonts w:ascii="Arial" w:hAnsi="Arial" w:cs="Arial"/>
          <w:sz w:val="24"/>
          <w:szCs w:val="24"/>
        </w:rPr>
        <w:tab/>
      </w:r>
    </w:p>
    <w:p w:rsidR="00AF3299" w:rsidRDefault="00865DCF" w:rsidP="00AF3299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Melbourne , Australia  16 - 20</w:t>
      </w:r>
      <w:r w:rsidR="00AF32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</w:t>
      </w:r>
      <w:r w:rsidR="00AF3299">
        <w:rPr>
          <w:rFonts w:ascii="Arial" w:hAnsi="Arial" w:cs="Arial"/>
          <w:sz w:val="24"/>
          <w:szCs w:val="24"/>
        </w:rPr>
        <w:t xml:space="preserve"> 2018</w:t>
      </w: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8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Agenda Item:</w:t>
      </w:r>
      <w:r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865DCF" w:rsidRPr="00865DCF">
        <w:rPr>
          <w:rFonts w:ascii="Arial" w:hAnsi="Arial" w:cs="Arial"/>
          <w:sz w:val="24"/>
          <w:szCs w:val="24"/>
          <w:lang w:val="en-US"/>
        </w:rPr>
        <w:t>7.1.3.1.4</w:t>
      </w: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Title: </w:t>
      </w:r>
      <w:r>
        <w:rPr>
          <w:rFonts w:ascii="Arial" w:hAnsi="Arial" w:cs="Arial"/>
          <w:sz w:val="24"/>
          <w:szCs w:val="24"/>
        </w:rPr>
        <w:tab/>
      </w:r>
      <w:bookmarkStart w:id="2" w:name="Title"/>
      <w:bookmarkEnd w:id="2"/>
      <w:r w:rsidR="00865DCF" w:rsidRPr="00865DCF">
        <w:rPr>
          <w:rFonts w:ascii="Arial" w:hAnsi="Arial" w:cs="Arial"/>
          <w:sz w:val="24"/>
          <w:szCs w:val="24"/>
        </w:rPr>
        <w:t>AH minutes for UE RF AH specific for DC_(n)71B</w:t>
      </w: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bookmarkStart w:id="3" w:name="DocumentFor"/>
      <w:bookmarkEnd w:id="3"/>
      <w:r>
        <w:rPr>
          <w:rFonts w:ascii="Arial" w:hAnsi="Arial" w:cs="Arial"/>
          <w:sz w:val="24"/>
          <w:szCs w:val="24"/>
        </w:rPr>
        <w:t>Information</w:t>
      </w:r>
    </w:p>
    <w:p w:rsidR="00AF3299" w:rsidRDefault="00AF3299" w:rsidP="00AF3299">
      <w:pPr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Fact Summary</w:t>
      </w: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Meeting:</w:t>
      </w:r>
      <w:r>
        <w:rPr>
          <w:rFonts w:ascii="Arial" w:hAnsi="Arial" w:cs="Arial"/>
          <w:sz w:val="24"/>
        </w:rPr>
        <w:tab/>
        <w:t>UE RF AH specific for DC_(n)71B</w:t>
      </w:r>
    </w:p>
    <w:p w:rsidR="00AF3299" w:rsidRDefault="00865DCF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Dates:</w:t>
      </w:r>
      <w:r>
        <w:rPr>
          <w:rFonts w:ascii="Arial" w:hAnsi="Arial" w:cs="Arial"/>
          <w:sz w:val="24"/>
        </w:rPr>
        <w:tab/>
        <w:t>19</w:t>
      </w:r>
      <w:r w:rsidR="00AF3299">
        <w:rPr>
          <w:rFonts w:ascii="Arial" w:hAnsi="Arial" w:cs="Arial"/>
          <w:sz w:val="24"/>
        </w:rPr>
        <w:t xml:space="preserve"> April, 2018</w:t>
      </w: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Venue: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szCs w:val="24"/>
        </w:rPr>
        <w:t>Melbourne, Australia</w:t>
      </w: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tabs>
          <w:tab w:val="left" w:pos="1985"/>
        </w:tabs>
        <w:spacing w:after="0"/>
        <w:rPr>
          <w:rFonts w:ascii="Arial" w:hAnsi="Arial" w:cs="Arial"/>
          <w:sz w:val="24"/>
        </w:rPr>
      </w:pPr>
    </w:p>
    <w:p w:rsidR="00AF3299" w:rsidRDefault="00AF3299" w:rsidP="00AF3299">
      <w:pPr>
        <w:spacing w:after="0"/>
        <w:rPr>
          <w:rFonts w:ascii="Arial" w:hAnsi="Arial" w:cs="Arial"/>
          <w:sz w:val="24"/>
        </w:rPr>
      </w:pPr>
    </w:p>
    <w:p w:rsidR="00AF3299" w:rsidRDefault="00AF3299" w:rsidP="00AF3299"/>
    <w:p w:rsidR="00AF3299" w:rsidRDefault="00AF3299" w:rsidP="00AF3299"/>
    <w:p w:rsidR="00C44CEF" w:rsidRDefault="00AF3299" w:rsidP="00FE6377">
      <w:pPr>
        <w:pStyle w:val="Heading1"/>
      </w:pPr>
      <w:r>
        <w:br w:type="page"/>
      </w:r>
      <w:r w:rsidR="00FE6377">
        <w:lastRenderedPageBreak/>
        <w:t>Agenda:</w:t>
      </w:r>
    </w:p>
    <w:p w:rsidR="00FE6377" w:rsidRDefault="00FE6377" w:rsidP="00FE6377">
      <w:pPr>
        <w:pStyle w:val="ListParagraph"/>
        <w:numPr>
          <w:ilvl w:val="0"/>
          <w:numId w:val="1"/>
        </w:numPr>
      </w:pPr>
      <w:r>
        <w:t>Single switched uplink for DC_(n)71B</w:t>
      </w:r>
    </w:p>
    <w:p w:rsidR="00FE6377" w:rsidRDefault="00FE6377" w:rsidP="00FE6377">
      <w:pPr>
        <w:pStyle w:val="ListParagraph"/>
        <w:numPr>
          <w:ilvl w:val="0"/>
          <w:numId w:val="1"/>
        </w:numPr>
      </w:pPr>
      <w:r>
        <w:t>Assumptions for A-MPR study</w:t>
      </w:r>
    </w:p>
    <w:p w:rsidR="00FE6377" w:rsidRDefault="00FE6377" w:rsidP="00FE6377">
      <w:pPr>
        <w:pStyle w:val="ListParagraph"/>
        <w:numPr>
          <w:ilvl w:val="0"/>
          <w:numId w:val="1"/>
        </w:numPr>
      </w:pPr>
      <w:r>
        <w:t>New MSD requirements</w:t>
      </w:r>
      <w:r w:rsidR="00AA17FC">
        <w:t xml:space="preserve"> (if time allows)</w:t>
      </w:r>
    </w:p>
    <w:p w:rsidR="00FE6377" w:rsidRDefault="00FE6377" w:rsidP="00FE6377">
      <w:pPr>
        <w:pStyle w:val="ListParagraph"/>
        <w:numPr>
          <w:ilvl w:val="0"/>
          <w:numId w:val="1"/>
        </w:numPr>
      </w:pPr>
      <w:r>
        <w:t>New channel bandwidths for DC_(n)71B (if time allows)</w:t>
      </w:r>
    </w:p>
    <w:p w:rsidR="008E700D" w:rsidRDefault="00C41555" w:rsidP="00FE6377">
      <w:pPr>
        <w:pStyle w:val="ListParagraph"/>
        <w:numPr>
          <w:ilvl w:val="0"/>
          <w:numId w:val="1"/>
        </w:numPr>
      </w:pPr>
      <w:r>
        <w:t>MTTD (if time allows)</w:t>
      </w:r>
    </w:p>
    <w:p w:rsidR="00FE6377" w:rsidRDefault="00FE6377" w:rsidP="00FE6377"/>
    <w:p w:rsidR="00FE6377" w:rsidRDefault="00FE6377" w:rsidP="00FE6377"/>
    <w:p w:rsidR="00FE6377" w:rsidRDefault="008E41B0" w:rsidP="008E41B0">
      <w:pPr>
        <w:pStyle w:val="Heading1"/>
      </w:pPr>
      <w:r>
        <w:t>1</w:t>
      </w:r>
      <w:r>
        <w:tab/>
      </w:r>
      <w:r w:rsidR="00FE6377" w:rsidRPr="00FE6377">
        <w:t>Single switched uplink for DC_(n)71B</w:t>
      </w:r>
    </w:p>
    <w:p w:rsidR="008E41B0" w:rsidRDefault="0010480D" w:rsidP="003502D3">
      <w:r>
        <w:t>Shall RAN4</w:t>
      </w:r>
      <w:r w:rsidR="003502D3">
        <w:t xml:space="preserve"> allow single switched uplink</w:t>
      </w:r>
      <w:r w:rsidR="0007720A">
        <w:t xml:space="preserve"> [1][2]</w:t>
      </w:r>
      <w:r w:rsidR="003502D3">
        <w:t xml:space="preserve"> for DC_(n)71B</w:t>
      </w:r>
      <w:r w:rsidR="0027658D">
        <w:t xml:space="preserve"> and will there be a condition </w:t>
      </w:r>
      <w:r w:rsidR="00A81E43">
        <w:t>that even for UE</w:t>
      </w:r>
      <w:r w:rsidR="0027658D">
        <w:t xml:space="preserve"> that requests </w:t>
      </w:r>
      <w:r w:rsidR="0027658D" w:rsidRPr="0027658D">
        <w:t>single switched uplink</w:t>
      </w:r>
      <w:r w:rsidR="0027658D">
        <w:t xml:space="preserve"> two uplink is mandatory?</w:t>
      </w:r>
      <w:r w:rsidR="00EC3C83">
        <w:t xml:space="preserve"> </w:t>
      </w:r>
      <w:r w:rsidR="00A81E43">
        <w:t>If so i</w:t>
      </w:r>
      <w:r w:rsidR="00EC3C83">
        <w:t>s this condition based on Tx power level or something else?</w:t>
      </w:r>
    </w:p>
    <w:p w:rsidR="005046AD" w:rsidRDefault="003502D3" w:rsidP="003502D3">
      <w:r>
        <w:t>Discussion:</w:t>
      </w:r>
      <w:r w:rsidR="00835046">
        <w:t xml:space="preserve"> </w:t>
      </w:r>
    </w:p>
    <w:p w:rsidR="003502D3" w:rsidRDefault="005046AD" w:rsidP="003502D3">
      <w:r>
        <w:t>E</w:t>
      </w:r>
      <w:r w:rsidR="00865DCF">
        <w:t>ricsson</w:t>
      </w:r>
      <w:r>
        <w:t>: NW performance point of view we propose that 2Tx shall be supported. If NW supports 1Tx it can be used but UE needs to support 2Tx.</w:t>
      </w:r>
    </w:p>
    <w:p w:rsidR="005046AD" w:rsidRDefault="005046AD" w:rsidP="003502D3">
      <w:r>
        <w:t>A: We have difference understanding. In out simulation paper we have shown that 1Tx has no impact to performance. In PL is more than 93 dB then 1 Tx is better than 2 Tx.</w:t>
      </w:r>
      <w:r w:rsidR="00865DCF">
        <w:t>.</w:t>
      </w:r>
      <w:r>
        <w:t xml:space="preserve"> NW configuration what does that mean 1Tx is UE capability.</w:t>
      </w:r>
    </w:p>
    <w:p w:rsidR="005046AD" w:rsidRDefault="00865DCF" w:rsidP="003502D3">
      <w:r>
        <w:t>Ericsson</w:t>
      </w:r>
      <w:r>
        <w:t>: It</w:t>
      </w:r>
      <w:r w:rsidR="005046AD">
        <w:t xml:space="preserve"> is not true that there is no impact to DL throughput. DL latency is impacted and TCP is </w:t>
      </w:r>
      <w:r>
        <w:t>impacted</w:t>
      </w:r>
      <w:r w:rsidR="005046AD">
        <w:t>. Case 2 has direct impact to DL TP. We are not sure from where this 9 dB BO comes from.</w:t>
      </w:r>
    </w:p>
    <w:p w:rsidR="005046AD" w:rsidRDefault="005046AD" w:rsidP="003502D3">
      <w:r>
        <w:t>A</w:t>
      </w:r>
      <w:r w:rsidR="00865DCF">
        <w:t>pple</w:t>
      </w:r>
      <w:r>
        <w:t xml:space="preserve">: </w:t>
      </w:r>
      <w:r w:rsidR="00865DCF">
        <w:t>Regarding</w:t>
      </w:r>
      <w:r>
        <w:t xml:space="preserve"> DL TP loss RAN1</w:t>
      </w:r>
      <w:r w:rsidR="00865DCF">
        <w:t xml:space="preserve"> has an agreement on HARQ timin</w:t>
      </w:r>
      <w:r>
        <w:t>g and it shows that there i</w:t>
      </w:r>
      <w:r w:rsidR="00865DCF">
        <w:t>s no</w:t>
      </w:r>
      <w:r>
        <w:t xml:space="preserve"> TP loss but latency is impacted, some ms. In case 2 which is transparent NE can do semi static. Type 2 UEs 1 Tx is mandatory. 9 dB BO came from our own measurements</w:t>
      </w:r>
      <w:r w:rsidR="001053B3">
        <w:t>.</w:t>
      </w:r>
    </w:p>
    <w:p w:rsidR="001053B3" w:rsidRDefault="00865DCF" w:rsidP="003502D3">
      <w:r>
        <w:t>Ericsson</w:t>
      </w:r>
      <w:r>
        <w:t>: Our position is that UE</w:t>
      </w:r>
      <w:r w:rsidR="001053B3">
        <w:t xml:space="preserve"> shall support 2 Tx but NW can configure 1 Tx thus in some sense it is allowed.</w:t>
      </w:r>
    </w:p>
    <w:p w:rsidR="001053B3" w:rsidRDefault="001053B3" w:rsidP="003502D3">
      <w:r>
        <w:t>A</w:t>
      </w:r>
      <w:r w:rsidR="00865DCF">
        <w:t>pple</w:t>
      </w:r>
      <w:r>
        <w:t xml:space="preserve">: IT should be </w:t>
      </w:r>
      <w:r w:rsidR="00865DCF">
        <w:t>other way</w:t>
      </w:r>
      <w:r>
        <w:t xml:space="preserve"> around, this is UE capability.</w:t>
      </w:r>
    </w:p>
    <w:p w:rsidR="005046AD" w:rsidRDefault="005046AD" w:rsidP="003502D3">
      <w:r>
        <w:t>LGE: 2Tx is baseline but 1 Tx can be supported.</w:t>
      </w:r>
    </w:p>
    <w:p w:rsidR="005046AD" w:rsidRDefault="005046AD" w:rsidP="003502D3">
      <w:r>
        <w:t xml:space="preserve">TMO: We find use case for both 1 TX and 2 Tx but we think that 1Tx is also </w:t>
      </w:r>
      <w:r w:rsidR="00865DCF">
        <w:t>useful</w:t>
      </w:r>
      <w:r>
        <w:t xml:space="preserve"> </w:t>
      </w:r>
      <w:r w:rsidR="00865DCF">
        <w:t>although</w:t>
      </w:r>
      <w:r>
        <w:t xml:space="preserve"> 2 Tx is baseline.</w:t>
      </w:r>
    </w:p>
    <w:p w:rsidR="005046AD" w:rsidRDefault="005046AD" w:rsidP="003502D3">
      <w:r>
        <w:t>Intel: From system perspective 1 Tx is too early not allow it. So both 1 Tx and 2 Tx should be used.</w:t>
      </w:r>
    </w:p>
    <w:p w:rsidR="001053B3" w:rsidRDefault="001053B3" w:rsidP="003502D3">
      <w:r>
        <w:t>Q</w:t>
      </w:r>
      <w:r w:rsidR="00865DCF">
        <w:t>ualcomm</w:t>
      </w:r>
      <w:r>
        <w:t>: We think that there are advantages to have 1 Tx and 2 Tx, there is no one solution that solves everything. Precluding 1 Tx is not realistic.</w:t>
      </w:r>
    </w:p>
    <w:p w:rsidR="001053B3" w:rsidRDefault="001053B3" w:rsidP="003502D3">
      <w:r>
        <w:t>OPPO: Similar view as Qualcomm.</w:t>
      </w:r>
    </w:p>
    <w:p w:rsidR="001053B3" w:rsidRDefault="001053B3" w:rsidP="003502D3">
      <w:r>
        <w:t>Chair: No agreement</w:t>
      </w:r>
    </w:p>
    <w:p w:rsidR="008E41B0" w:rsidRDefault="008E41B0" w:rsidP="008E41B0">
      <w:pPr>
        <w:pStyle w:val="Heading1"/>
      </w:pPr>
      <w:r>
        <w:t>2</w:t>
      </w:r>
      <w:r>
        <w:tab/>
      </w:r>
      <w:r w:rsidRPr="008E41B0">
        <w:t>Assumptions for A-MPR study</w:t>
      </w:r>
    </w:p>
    <w:p w:rsidR="008E41B0" w:rsidRDefault="008E41B0" w:rsidP="008E41B0">
      <w:pPr>
        <w:ind w:left="360"/>
      </w:pPr>
    </w:p>
    <w:p w:rsidR="008E41B0" w:rsidRDefault="00D9277C" w:rsidP="008E41B0">
      <w:pPr>
        <w:ind w:left="360"/>
      </w:pPr>
      <w:r>
        <w:t>Baseline assumptions for A-MPR study</w:t>
      </w:r>
    </w:p>
    <w:p w:rsidR="008E41B0" w:rsidRDefault="008E41B0" w:rsidP="008E41B0">
      <w:pPr>
        <w:pStyle w:val="ListParagraph"/>
        <w:numPr>
          <w:ilvl w:val="0"/>
          <w:numId w:val="5"/>
        </w:numPr>
      </w:pPr>
      <w:r>
        <w:t>UE architecture 1 PA and antenna</w:t>
      </w:r>
    </w:p>
    <w:p w:rsidR="008E41B0" w:rsidRDefault="008E41B0" w:rsidP="008E41B0">
      <w:pPr>
        <w:pStyle w:val="ListParagraph"/>
        <w:numPr>
          <w:ilvl w:val="0"/>
          <w:numId w:val="5"/>
        </w:numPr>
      </w:pPr>
      <w:r>
        <w:t>Equal PSD for LTE and NR</w:t>
      </w:r>
    </w:p>
    <w:p w:rsidR="00A83CE4" w:rsidRDefault="00A83CE4" w:rsidP="008E41B0">
      <w:pPr>
        <w:pStyle w:val="ListParagraph"/>
        <w:numPr>
          <w:ilvl w:val="0"/>
          <w:numId w:val="5"/>
        </w:numPr>
      </w:pPr>
      <w:r>
        <w:t>Two sets of A-MPR</w:t>
      </w:r>
    </w:p>
    <w:p w:rsidR="008E41B0" w:rsidRDefault="008E41B0" w:rsidP="008E41B0">
      <w:pPr>
        <w:pStyle w:val="ListParagraph"/>
        <w:numPr>
          <w:ilvl w:val="0"/>
          <w:numId w:val="5"/>
        </w:numPr>
      </w:pPr>
      <w:r>
        <w:lastRenderedPageBreak/>
        <w:t>Power reduction is studied against emission requirements not against self-desense</w:t>
      </w:r>
    </w:p>
    <w:p w:rsidR="008E41B0" w:rsidRDefault="008E41B0" w:rsidP="008E41B0">
      <w:pPr>
        <w:pStyle w:val="ListParagraph"/>
        <w:numPr>
          <w:ilvl w:val="0"/>
          <w:numId w:val="5"/>
        </w:numPr>
      </w:pPr>
      <w:r>
        <w:t>Equal power reduction for LTE and NR</w:t>
      </w:r>
    </w:p>
    <w:p w:rsidR="008E41B0" w:rsidRPr="008E41B0" w:rsidRDefault="008E41B0" w:rsidP="008E41B0">
      <w:pPr>
        <w:pStyle w:val="ListParagraph"/>
        <w:numPr>
          <w:ilvl w:val="0"/>
          <w:numId w:val="5"/>
        </w:numPr>
      </w:pPr>
      <w:bookmarkStart w:id="4" w:name="_Hlk511722544"/>
      <w:r>
        <w:t>A-MPR is defined using allocation ratio (like LTE intraband contiguous CA)</w:t>
      </w:r>
    </w:p>
    <w:bookmarkEnd w:id="4"/>
    <w:p w:rsidR="00FE6377" w:rsidRDefault="00FE6377" w:rsidP="00FE6377"/>
    <w:p w:rsidR="006A0218" w:rsidRDefault="006A0218" w:rsidP="006A0218">
      <w:pPr>
        <w:pStyle w:val="Heading2"/>
        <w:numPr>
          <w:ilvl w:val="0"/>
          <w:numId w:val="6"/>
        </w:numPr>
      </w:pPr>
      <w:r>
        <w:t>UE architecture 1 PA and antenna</w:t>
      </w:r>
    </w:p>
    <w:p w:rsidR="006A0218" w:rsidRDefault="006A0218" w:rsidP="006A0218"/>
    <w:p w:rsidR="006A0218" w:rsidRDefault="006A0218" w:rsidP="006A0218">
      <w:r>
        <w:t>It was proposed in [3] (LGE) that single PA and single antenna is assumed for DC_(n)71B this also seems to be common understanding in online discussions among the companies.</w:t>
      </w:r>
    </w:p>
    <w:p w:rsidR="006A0218" w:rsidRDefault="006A0218" w:rsidP="006A0218">
      <w:r>
        <w:t>Discussion:</w:t>
      </w:r>
    </w:p>
    <w:p w:rsidR="001053B3" w:rsidRDefault="001053B3" w:rsidP="006A0218">
      <w:r>
        <w:t>Chair: anybody against Agreement.</w:t>
      </w:r>
    </w:p>
    <w:p w:rsidR="001053B3" w:rsidRDefault="001053B3" w:rsidP="006A0218">
      <w:r>
        <w:t>No objection.</w:t>
      </w:r>
    </w:p>
    <w:p w:rsidR="006A0218" w:rsidRPr="0081097E" w:rsidRDefault="006A0218" w:rsidP="006A0218">
      <w:pPr>
        <w:rPr>
          <w:b/>
        </w:rPr>
      </w:pPr>
      <w:r w:rsidRPr="001053B3">
        <w:rPr>
          <w:b/>
          <w:highlight w:val="green"/>
        </w:rPr>
        <w:t>Agreement: Use single PA and single antenna UE architecture in A-MPR studies for DC_(n)71B</w:t>
      </w:r>
    </w:p>
    <w:p w:rsidR="00FE6377" w:rsidRDefault="00FE6377" w:rsidP="00FE6377"/>
    <w:p w:rsidR="00B3696D" w:rsidRPr="00B3696D" w:rsidRDefault="00B3696D" w:rsidP="00B3696D">
      <w:pPr>
        <w:pStyle w:val="ListParagraph"/>
        <w:numPr>
          <w:ilvl w:val="0"/>
          <w:numId w:val="6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B3696D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Equal PSD for LTE and NR</w:t>
      </w:r>
    </w:p>
    <w:p w:rsidR="00B3696D" w:rsidRPr="00B3696D" w:rsidRDefault="00B3696D" w:rsidP="00B3696D">
      <w:r>
        <w:t xml:space="preserve">It is proposed to use equal PSD in A-MPR studies but RAN4 can specify that the requirements in 38.101 apply with PSD imbalance of max [6 dB]. </w:t>
      </w:r>
      <w:r w:rsidR="00177824">
        <w:t>This can be done for example by adding a n</w:t>
      </w:r>
      <w:r>
        <w:t>ote in EN-DC configuration table.</w:t>
      </w:r>
    </w:p>
    <w:p w:rsidR="00B3696D" w:rsidRDefault="00B3696D" w:rsidP="00B3696D">
      <w:r>
        <w:t>Discussion:</w:t>
      </w:r>
    </w:p>
    <w:p w:rsidR="001053B3" w:rsidRDefault="001053B3" w:rsidP="00B3696D">
      <w:r>
        <w:t>Chair: Everybody ok with equal PSD.</w:t>
      </w:r>
    </w:p>
    <w:p w:rsidR="001053B3" w:rsidRDefault="00865DCF" w:rsidP="00B3696D">
      <w:r>
        <w:t>Ericsson</w:t>
      </w:r>
      <w:r w:rsidR="001053B3">
        <w:t>: Good starting point but should not preclude PSD imbalance.</w:t>
      </w:r>
    </w:p>
    <w:p w:rsidR="001053B3" w:rsidRDefault="001053B3" w:rsidP="00B3696D">
      <w:r>
        <w:t>C</w:t>
      </w:r>
      <w:r w:rsidR="00903A01">
        <w:t>hair</w:t>
      </w:r>
      <w:r>
        <w:t xml:space="preserve">: </w:t>
      </w:r>
      <w:r w:rsidR="00903A01">
        <w:t>How about including to the specification that PSD difference may not be more than</w:t>
      </w:r>
      <w:r>
        <w:t xml:space="preserve"> 6 dB</w:t>
      </w:r>
    </w:p>
    <w:p w:rsidR="001053B3" w:rsidRDefault="001053B3" w:rsidP="00B3696D">
      <w:r>
        <w:t>Intel: We need to clarify how EVM</w:t>
      </w:r>
      <w:r w:rsidR="00903A01">
        <w:t xml:space="preserve"> is handled in case of PSD difference</w:t>
      </w:r>
    </w:p>
    <w:p w:rsidR="001053B3" w:rsidRDefault="001053B3" w:rsidP="00B3696D">
      <w:r>
        <w:t>Chair: See EVM section in this agenda</w:t>
      </w:r>
      <w:r w:rsidR="00903A01">
        <w:t>, EVM is tested only with an allocation in LTE or NR</w:t>
      </w:r>
    </w:p>
    <w:p w:rsidR="001053B3" w:rsidRDefault="001053B3" w:rsidP="00B3696D">
      <w:r>
        <w:t>LGE: LTE is priori</w:t>
      </w:r>
      <w:r w:rsidR="00903A01">
        <w:t>ti</w:t>
      </w:r>
      <w:r>
        <w:t>zed to NR: A-MPR should be applied to NR</w:t>
      </w:r>
      <w:r w:rsidR="0061096F">
        <w:t xml:space="preserve">. Un-equal PSD should be </w:t>
      </w:r>
      <w:r w:rsidR="00903A01">
        <w:t>studied</w:t>
      </w:r>
      <w:r w:rsidR="0061096F">
        <w:t>.</w:t>
      </w:r>
    </w:p>
    <w:p w:rsidR="0061096F" w:rsidRDefault="0061096F" w:rsidP="00B3696D">
      <w:r>
        <w:t>Skyworks: For LGE you say tha</w:t>
      </w:r>
      <w:r w:rsidR="00903A01">
        <w:t>t A-MPR should be applied to NR only?</w:t>
      </w:r>
    </w:p>
    <w:p w:rsidR="0061096F" w:rsidRDefault="0061096F" w:rsidP="00B3696D">
      <w:r>
        <w:t>Chair: 2 first bullets agreed.</w:t>
      </w:r>
    </w:p>
    <w:p w:rsidR="00903A01" w:rsidRDefault="00903A01" w:rsidP="00903A01">
      <w:pPr>
        <w:rPr>
          <w:b/>
        </w:rPr>
      </w:pPr>
      <w:r w:rsidRPr="0081097E">
        <w:rPr>
          <w:b/>
        </w:rPr>
        <w:t xml:space="preserve">Agreement: </w:t>
      </w:r>
    </w:p>
    <w:p w:rsidR="006A0218" w:rsidRPr="0061096F" w:rsidRDefault="00B3696D" w:rsidP="00744B5C">
      <w:pPr>
        <w:pStyle w:val="ListParagraph"/>
        <w:numPr>
          <w:ilvl w:val="0"/>
          <w:numId w:val="8"/>
        </w:numPr>
        <w:rPr>
          <w:b/>
          <w:highlight w:val="green"/>
        </w:rPr>
      </w:pPr>
      <w:r w:rsidRPr="0061096F">
        <w:rPr>
          <w:b/>
          <w:highlight w:val="green"/>
        </w:rPr>
        <w:t xml:space="preserve">Use equal PSD in A-MPR studies for LTE and NR. </w:t>
      </w:r>
    </w:p>
    <w:p w:rsidR="001053B3" w:rsidRPr="0061096F" w:rsidRDefault="001053B3" w:rsidP="00744B5C">
      <w:pPr>
        <w:pStyle w:val="ListParagraph"/>
        <w:numPr>
          <w:ilvl w:val="0"/>
          <w:numId w:val="8"/>
        </w:numPr>
        <w:rPr>
          <w:b/>
          <w:highlight w:val="green"/>
        </w:rPr>
      </w:pPr>
      <w:r w:rsidRPr="0061096F">
        <w:rPr>
          <w:b/>
          <w:highlight w:val="green"/>
        </w:rPr>
        <w:t>Study for un-equal PSD is not precluded</w:t>
      </w:r>
    </w:p>
    <w:p w:rsidR="00FE6377" w:rsidRDefault="00FE6377" w:rsidP="00FE6377"/>
    <w:p w:rsidR="00A83CE4" w:rsidRPr="00A83CE4" w:rsidRDefault="00A83CE4" w:rsidP="00A83CE4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3</w:t>
      </w: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ab/>
      </w:r>
      <w:r w:rsidRPr="00A83CE4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Two sets of A-MPR</w:t>
      </w:r>
    </w:p>
    <w:p w:rsidR="00F66BF3" w:rsidRDefault="00F66BF3" w:rsidP="00F66BF3">
      <w:r>
        <w:t>It was discussed in [5][6][7] that equal power reduction for LTE and NR lead</w:t>
      </w:r>
      <w:r w:rsidR="00A83CE4">
        <w:t>s to lowest power reduction need but to do this LTE and NR modems need to know each other’s allocation</w:t>
      </w:r>
      <w:r>
        <w:t>.</w:t>
      </w:r>
      <w:r w:rsidR="00744B5C">
        <w:t xml:space="preserve"> It was also discussed in [5] that early UE do not have fast communication between LTE and NR modems</w:t>
      </w:r>
      <w:r w:rsidR="00A83CE4">
        <w:t xml:space="preserve"> thus modems so not know each other’s allocation</w:t>
      </w:r>
      <w:r w:rsidR="00744B5C">
        <w:t>.</w:t>
      </w:r>
    </w:p>
    <w:p w:rsidR="00744B5C" w:rsidRDefault="00744B5C" w:rsidP="00F66BF3">
      <w:r>
        <w:t>Discussion:</w:t>
      </w:r>
    </w:p>
    <w:p w:rsidR="0061096F" w:rsidRDefault="00903A01" w:rsidP="00F66BF3">
      <w:r>
        <w:lastRenderedPageBreak/>
        <w:t>Chair: Is</w:t>
      </w:r>
      <w:r w:rsidR="0061096F">
        <w:t xml:space="preserve"> A-MPR(1) and A-MPR(2) idea ok.</w:t>
      </w:r>
    </w:p>
    <w:p w:rsidR="0061096F" w:rsidRDefault="0061096F" w:rsidP="00F66BF3">
      <w:r>
        <w:t>LGE: it is acceptable to progress how we can distinguish assumption between 1 and 2.</w:t>
      </w:r>
    </w:p>
    <w:p w:rsidR="0061096F" w:rsidRDefault="0061096F" w:rsidP="00F66BF3">
      <w:r>
        <w:t>Skyworks: If UE signals that it does not support dynamic power sharing it uses A-MPR-2</w:t>
      </w:r>
    </w:p>
    <w:p w:rsidR="0061096F" w:rsidRDefault="0061096F" w:rsidP="00F66BF3">
      <w:r>
        <w:t xml:space="preserve">Chair: </w:t>
      </w:r>
      <w:r w:rsidR="00903A01">
        <w:t>Modified</w:t>
      </w:r>
      <w:r>
        <w:t xml:space="preserve"> proposals are acceptable</w:t>
      </w:r>
    </w:p>
    <w:p w:rsidR="00744B5C" w:rsidRPr="0081097E" w:rsidRDefault="00744B5C" w:rsidP="00F66BF3">
      <w:pPr>
        <w:rPr>
          <w:b/>
        </w:rPr>
      </w:pPr>
      <w:r w:rsidRPr="0081097E">
        <w:rPr>
          <w:b/>
        </w:rPr>
        <w:t xml:space="preserve">Agreement: </w:t>
      </w:r>
    </w:p>
    <w:p w:rsidR="00744B5C" w:rsidRPr="0061096F" w:rsidRDefault="00744B5C" w:rsidP="00744B5C">
      <w:pPr>
        <w:pStyle w:val="ListParagraph"/>
        <w:numPr>
          <w:ilvl w:val="0"/>
          <w:numId w:val="9"/>
        </w:numPr>
        <w:rPr>
          <w:b/>
          <w:highlight w:val="green"/>
        </w:rPr>
      </w:pPr>
      <w:r w:rsidRPr="0061096F">
        <w:rPr>
          <w:b/>
          <w:highlight w:val="green"/>
        </w:rPr>
        <w:t>Define two sets of A-MRP. One A-MPR</w:t>
      </w:r>
      <w:r w:rsidR="00A83CE4" w:rsidRPr="0061096F">
        <w:rPr>
          <w:b/>
          <w:highlight w:val="green"/>
        </w:rPr>
        <w:t>(1)</w:t>
      </w:r>
      <w:r w:rsidRPr="0061096F">
        <w:rPr>
          <w:b/>
          <w:highlight w:val="green"/>
        </w:rPr>
        <w:t xml:space="preserve"> for case that LTE and NR modems know each other’s allocation and another A-MPR</w:t>
      </w:r>
      <w:r w:rsidR="00A83CE4" w:rsidRPr="0061096F">
        <w:rPr>
          <w:b/>
          <w:highlight w:val="green"/>
        </w:rPr>
        <w:t>(2)</w:t>
      </w:r>
      <w:r w:rsidRPr="0061096F">
        <w:rPr>
          <w:b/>
          <w:highlight w:val="green"/>
        </w:rPr>
        <w:t xml:space="preserve"> for the case that LTE and NR modems do not know each other’s allocation. </w:t>
      </w:r>
    </w:p>
    <w:p w:rsidR="00744B5C" w:rsidRPr="0061096F" w:rsidRDefault="00744B5C" w:rsidP="00744B5C">
      <w:pPr>
        <w:pStyle w:val="ListParagraph"/>
        <w:numPr>
          <w:ilvl w:val="0"/>
          <w:numId w:val="9"/>
        </w:numPr>
        <w:rPr>
          <w:b/>
          <w:highlight w:val="green"/>
        </w:rPr>
      </w:pPr>
      <w:r w:rsidRPr="0061096F">
        <w:rPr>
          <w:b/>
          <w:highlight w:val="green"/>
        </w:rPr>
        <w:t>Use A-MPR versioning to indicate which A-MPR UE supports</w:t>
      </w:r>
      <w:r w:rsidR="0061096F" w:rsidRPr="0061096F">
        <w:rPr>
          <w:b/>
          <w:highlight w:val="green"/>
        </w:rPr>
        <w:t xml:space="preserve"> is an option that can be discussed.</w:t>
      </w:r>
    </w:p>
    <w:p w:rsidR="00FE6377" w:rsidRDefault="00FE6377" w:rsidP="00FE6377"/>
    <w:p w:rsidR="00587539" w:rsidRDefault="002F2BFE" w:rsidP="002F2BFE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bookmarkStart w:id="5" w:name="_Hlk511777016"/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4</w:t>
      </w: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ab/>
      </w:r>
      <w:r w:rsidR="00587539" w:rsidRPr="002F2BFE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Power reduction is studied against emission requirements not against self-desense</w:t>
      </w:r>
    </w:p>
    <w:p w:rsidR="002F2BFE" w:rsidRDefault="0081097E" w:rsidP="00330EBD">
      <w:pPr>
        <w:rPr>
          <w:lang w:val="en-US"/>
        </w:rPr>
      </w:pPr>
      <w:r>
        <w:t>In [6][7] A-MPR was simulated against emissions requirements and self desentization was not considered. I</w:t>
      </w:r>
      <w:r w:rsidR="00330EBD">
        <w:t xml:space="preserve">n [5] </w:t>
      </w:r>
      <w:r>
        <w:t xml:space="preserve">it was </w:t>
      </w:r>
      <w:r w:rsidR="00330EBD">
        <w:t xml:space="preserve">stated that </w:t>
      </w:r>
      <w:r w:rsidR="00330EBD">
        <w:rPr>
          <w:lang w:val="en-US"/>
        </w:rPr>
        <w:t xml:space="preserve">self-desense </w:t>
      </w:r>
      <w:r>
        <w:rPr>
          <w:lang w:val="en-US"/>
        </w:rPr>
        <w:t>could</w:t>
      </w:r>
      <w:r w:rsidR="00330EBD">
        <w:rPr>
          <w:lang w:val="en-US"/>
        </w:rPr>
        <w:t xml:space="preserve"> be treated by A-MPR, by MSD, or by other means.</w:t>
      </w:r>
      <w:r>
        <w:rPr>
          <w:lang w:val="en-US"/>
        </w:rPr>
        <w:t xml:space="preserve"> </w:t>
      </w:r>
    </w:p>
    <w:p w:rsidR="005C760F" w:rsidRPr="005C760F" w:rsidRDefault="005C760F" w:rsidP="005C760F">
      <w:pPr>
        <w:rPr>
          <w:b/>
        </w:rPr>
      </w:pPr>
      <w:r>
        <w:rPr>
          <w:lang w:val="en-US"/>
        </w:rPr>
        <w:t>Note LTE CA EVM is defined as follows:</w:t>
      </w:r>
      <w:r w:rsidRPr="005C760F">
        <w:rPr>
          <w:rFonts w:hint="eastAsia"/>
        </w:rPr>
        <w:t xml:space="preserve"> </w:t>
      </w:r>
      <w:r w:rsidRPr="00CB62BE">
        <w:rPr>
          <w:rFonts w:hint="eastAsia"/>
        </w:rPr>
        <w:t xml:space="preserve">For the intra-band </w:t>
      </w:r>
      <w:r w:rsidRPr="00CB62BE">
        <w:t>contiguous and non-contiguous</w:t>
      </w:r>
      <w:r w:rsidRPr="00CB62BE" w:rsidDel="000C4A5A">
        <w:rPr>
          <w:rFonts w:hint="eastAsia"/>
        </w:rPr>
        <w:t xml:space="preserve"> </w:t>
      </w:r>
      <w:r w:rsidRPr="00CB62BE">
        <w:t>carrier aggregation</w:t>
      </w:r>
      <w:r w:rsidRPr="00CB62BE">
        <w:rPr>
          <w:rFonts w:hint="eastAsia"/>
        </w:rPr>
        <w:t xml:space="preserve">, the </w:t>
      </w:r>
      <w:r w:rsidRPr="00CB62BE">
        <w:t>Error Vector Magnitude</w:t>
      </w:r>
      <w:r w:rsidRPr="00CB62BE">
        <w:rPr>
          <w:rFonts w:hint="eastAsia"/>
        </w:rPr>
        <w:t xml:space="preserve"> requirement should be d</w:t>
      </w:r>
      <w:r w:rsidRPr="00CB62BE">
        <w:t>e</w:t>
      </w:r>
      <w:r w:rsidRPr="00CB62BE">
        <w:rPr>
          <w:rFonts w:hint="eastAsia"/>
        </w:rPr>
        <w:t xml:space="preserve">fined for each </w:t>
      </w:r>
      <w:r w:rsidRPr="00CB62BE">
        <w:t>component carrier</w:t>
      </w:r>
      <w:r w:rsidRPr="00CB62BE">
        <w:rPr>
          <w:rFonts w:hint="eastAsia"/>
        </w:rPr>
        <w:t xml:space="preserve">. </w:t>
      </w:r>
      <w:r w:rsidRPr="005C760F">
        <w:rPr>
          <w:b/>
        </w:rPr>
        <w:t>Requirements only apply with PRB allocation in one of the component carriers.</w:t>
      </w:r>
    </w:p>
    <w:p w:rsidR="0081097E" w:rsidRDefault="0081097E" w:rsidP="0081097E">
      <w:r>
        <w:t>Discussion:</w:t>
      </w:r>
    </w:p>
    <w:p w:rsidR="00903A01" w:rsidRDefault="00903A01" w:rsidP="0081097E">
      <w:r>
        <w:t>Chair: is it ok to all that A-MPR is not used to mitigate MSD</w:t>
      </w:r>
      <w:r w:rsidR="00B21565">
        <w:t xml:space="preserve"> </w:t>
      </w:r>
    </w:p>
    <w:p w:rsidR="00B21565" w:rsidRDefault="00903A01" w:rsidP="0081097E">
      <w:r>
        <w:t xml:space="preserve">It was </w:t>
      </w:r>
      <w:r w:rsidR="00B21565">
        <w:t>ok to all</w:t>
      </w:r>
    </w:p>
    <w:p w:rsidR="00903A01" w:rsidRDefault="00903A01" w:rsidP="0081097E">
      <w:r>
        <w:t xml:space="preserve">Chair: </w:t>
      </w:r>
      <w:r w:rsidR="00B21565">
        <w:t xml:space="preserve"> Can</w:t>
      </w:r>
      <w:r w:rsidR="009301FA">
        <w:t xml:space="preserve"> we apply LTE approach to EVM</w:t>
      </w:r>
    </w:p>
    <w:p w:rsidR="00B21565" w:rsidRDefault="00903A01" w:rsidP="0081097E">
      <w:r>
        <w:t>IT was ok to all</w:t>
      </w:r>
    </w:p>
    <w:p w:rsidR="009301FA" w:rsidRDefault="009301FA" w:rsidP="0081097E">
      <w:r>
        <w:t xml:space="preserve">LGE: Emission level to 29 will be </w:t>
      </w:r>
      <w:r w:rsidR="00903A01">
        <w:t>revised</w:t>
      </w:r>
      <w:r>
        <w:t xml:space="preserve"> likely to be -38. Filter rejection should be better.</w:t>
      </w:r>
    </w:p>
    <w:p w:rsidR="009301FA" w:rsidRDefault="009301FA" w:rsidP="0081097E">
      <w:r>
        <w:t xml:space="preserve">Intel: 12 and 29 LTE B71 does not protect those in FOOB. </w:t>
      </w:r>
    </w:p>
    <w:p w:rsidR="009301FA" w:rsidRDefault="009301FA" w:rsidP="0081097E">
      <w:r>
        <w:t>Chair</w:t>
      </w:r>
      <w:r w:rsidR="00903A01">
        <w:t>:</w:t>
      </w:r>
      <w:r>
        <w:t xml:space="preserve"> we follow </w:t>
      </w:r>
      <w:r w:rsidR="00903A01">
        <w:t>what</w:t>
      </w:r>
      <w:r>
        <w:t xml:space="preserve"> is in 38.101 after this meeting relating to note 15 and emission levels.</w:t>
      </w:r>
    </w:p>
    <w:p w:rsidR="00B21565" w:rsidRDefault="009301FA" w:rsidP="0081097E">
      <w:r>
        <w:t xml:space="preserve">Skyworks: </w:t>
      </w:r>
      <w:r w:rsidR="00903A01">
        <w:t xml:space="preserve">Concerning the </w:t>
      </w:r>
      <w:r>
        <w:t>ACLR QC has changed EN-DC ACLR own signal meas BW, please take this into account.</w:t>
      </w:r>
    </w:p>
    <w:p w:rsidR="009301FA" w:rsidRDefault="009301FA" w:rsidP="0081097E">
      <w:r>
        <w:t xml:space="preserve">Chair: </w:t>
      </w:r>
      <w:r w:rsidR="00903A01">
        <w:t xml:space="preserve">Concerning </w:t>
      </w:r>
      <w:r>
        <w:t>SEM we use existing SEM or if Erisson new SEM is agreed in this meeting we use that.</w:t>
      </w:r>
    </w:p>
    <w:p w:rsidR="0081097E" w:rsidRPr="0081097E" w:rsidRDefault="0081097E" w:rsidP="0081097E">
      <w:pPr>
        <w:rPr>
          <w:b/>
        </w:rPr>
      </w:pPr>
      <w:r w:rsidRPr="0081097E">
        <w:rPr>
          <w:b/>
        </w:rPr>
        <w:t>Agreement: A-MPR is used to address following emission requriements</w:t>
      </w:r>
    </w:p>
    <w:p w:rsidR="0081097E" w:rsidRPr="0081097E" w:rsidRDefault="0081097E" w:rsidP="0081097E">
      <w:pPr>
        <w:pStyle w:val="ListParagraph"/>
        <w:numPr>
          <w:ilvl w:val="0"/>
          <w:numId w:val="12"/>
        </w:numPr>
        <w:rPr>
          <w:b/>
        </w:rPr>
      </w:pPr>
      <w:r w:rsidRPr="0081097E">
        <w:rPr>
          <w:b/>
        </w:rPr>
        <w:t>Spectrum emission mask</w:t>
      </w:r>
      <w:r w:rsidR="00C31999">
        <w:rPr>
          <w:b/>
        </w:rPr>
        <w:t>, current or the one proposed in [10]</w:t>
      </w:r>
    </w:p>
    <w:p w:rsidR="0081097E" w:rsidRPr="009301FA" w:rsidRDefault="0081097E" w:rsidP="0081097E">
      <w:pPr>
        <w:pStyle w:val="ListParagraph"/>
        <w:numPr>
          <w:ilvl w:val="0"/>
          <w:numId w:val="12"/>
        </w:numPr>
        <w:rPr>
          <w:b/>
          <w:highlight w:val="green"/>
        </w:rPr>
      </w:pPr>
      <w:r w:rsidRPr="009301FA">
        <w:rPr>
          <w:b/>
          <w:highlight w:val="green"/>
        </w:rPr>
        <w:t>ACLR</w:t>
      </w:r>
    </w:p>
    <w:p w:rsidR="00EB06B3" w:rsidRDefault="0081097E" w:rsidP="0081097E">
      <w:pPr>
        <w:pStyle w:val="ListParagraph"/>
        <w:numPr>
          <w:ilvl w:val="0"/>
          <w:numId w:val="12"/>
        </w:numPr>
        <w:rPr>
          <w:b/>
        </w:rPr>
      </w:pPr>
      <w:r w:rsidRPr="0081097E">
        <w:rPr>
          <w:b/>
        </w:rPr>
        <w:t>Protection of bands 12 and 29</w:t>
      </w:r>
      <w:r w:rsidR="00EB06B3">
        <w:rPr>
          <w:b/>
        </w:rPr>
        <w:t xml:space="preserve"> </w:t>
      </w:r>
    </w:p>
    <w:p w:rsidR="0081097E" w:rsidRPr="009301FA" w:rsidRDefault="00EB06B3" w:rsidP="00EB06B3">
      <w:pPr>
        <w:pStyle w:val="ListParagraph"/>
        <w:numPr>
          <w:ilvl w:val="1"/>
          <w:numId w:val="12"/>
        </w:numPr>
        <w:rPr>
          <w:b/>
          <w:highlight w:val="green"/>
        </w:rPr>
      </w:pPr>
      <w:r w:rsidRPr="009301FA">
        <w:rPr>
          <w:b/>
          <w:highlight w:val="green"/>
        </w:rPr>
        <w:t>requirement is -50 dBm/1 MHz</w:t>
      </w:r>
      <w:r w:rsidR="00710392" w:rsidRPr="009301FA">
        <w:rPr>
          <w:b/>
          <w:highlight w:val="green"/>
        </w:rPr>
        <w:t xml:space="preserve"> for bands 12 and </w:t>
      </w:r>
      <w:r w:rsidR="009301FA" w:rsidRPr="009301FA">
        <w:rPr>
          <w:b/>
          <w:highlight w:val="green"/>
        </w:rPr>
        <w:t xml:space="preserve">for band </w:t>
      </w:r>
      <w:r w:rsidR="00710392" w:rsidRPr="009301FA">
        <w:rPr>
          <w:b/>
          <w:highlight w:val="green"/>
        </w:rPr>
        <w:t>29</w:t>
      </w:r>
      <w:r w:rsidR="009301FA" w:rsidRPr="009301FA">
        <w:rPr>
          <w:b/>
          <w:highlight w:val="green"/>
        </w:rPr>
        <w:t xml:space="preserve"> what is agreed in this meeting.</w:t>
      </w:r>
    </w:p>
    <w:p w:rsidR="00EB06B3" w:rsidRPr="009301FA" w:rsidRDefault="00EB06B3" w:rsidP="00EB06B3">
      <w:pPr>
        <w:pStyle w:val="ListParagraph"/>
        <w:numPr>
          <w:ilvl w:val="1"/>
          <w:numId w:val="12"/>
        </w:numPr>
        <w:rPr>
          <w:b/>
          <w:highlight w:val="green"/>
        </w:rPr>
      </w:pPr>
      <w:r w:rsidRPr="009301FA">
        <w:rPr>
          <w:b/>
          <w:highlight w:val="green"/>
        </w:rPr>
        <w:t xml:space="preserve">filter rejection to band 12 </w:t>
      </w:r>
      <w:r w:rsidR="00A03737" w:rsidRPr="009301FA">
        <w:rPr>
          <w:b/>
          <w:highlight w:val="green"/>
        </w:rPr>
        <w:t>is at least</w:t>
      </w:r>
      <w:r w:rsidR="00710392" w:rsidRPr="009301FA">
        <w:rPr>
          <w:b/>
          <w:highlight w:val="green"/>
        </w:rPr>
        <w:t xml:space="preserve"> 25 dB [9]</w:t>
      </w:r>
    </w:p>
    <w:p w:rsidR="00A03737" w:rsidRPr="009301FA" w:rsidRDefault="00A03737" w:rsidP="00A03737">
      <w:pPr>
        <w:pStyle w:val="ListParagraph"/>
        <w:numPr>
          <w:ilvl w:val="1"/>
          <w:numId w:val="12"/>
        </w:numPr>
        <w:rPr>
          <w:b/>
          <w:highlight w:val="green"/>
        </w:rPr>
      </w:pPr>
      <w:r w:rsidRPr="009301FA">
        <w:rPr>
          <w:b/>
          <w:highlight w:val="green"/>
        </w:rPr>
        <w:t>filter rejection to band 29 is at least</w:t>
      </w:r>
      <w:r w:rsidR="00710392" w:rsidRPr="009301FA">
        <w:rPr>
          <w:b/>
          <w:highlight w:val="green"/>
        </w:rPr>
        <w:t xml:space="preserve"> 10 dB [9]</w:t>
      </w:r>
    </w:p>
    <w:p w:rsidR="0081097E" w:rsidRPr="0081097E" w:rsidRDefault="0081097E" w:rsidP="0081097E">
      <w:pPr>
        <w:rPr>
          <w:b/>
        </w:rPr>
      </w:pPr>
      <w:r w:rsidRPr="00B21565">
        <w:rPr>
          <w:b/>
          <w:highlight w:val="green"/>
        </w:rPr>
        <w:t>Self-desentization is specified with MSD and no A-MPR is used to mitigate MSD.</w:t>
      </w:r>
    </w:p>
    <w:bookmarkEnd w:id="5"/>
    <w:p w:rsidR="002F2BFE" w:rsidRPr="002F2BFE" w:rsidRDefault="002F2BFE" w:rsidP="002F2BFE"/>
    <w:p w:rsidR="00FE6377" w:rsidRPr="00A169FF" w:rsidRDefault="00A169FF" w:rsidP="00A169FF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A169FF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lastRenderedPageBreak/>
        <w:t>5</w:t>
      </w:r>
      <w:r w:rsidRPr="00A169FF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ab/>
        <w:t>Equal power reduction for LTE and NR</w:t>
      </w:r>
    </w:p>
    <w:p w:rsidR="00FE6377" w:rsidRDefault="00306345" w:rsidP="00FE6377">
      <w:r w:rsidRPr="00306345">
        <w:t xml:space="preserve">A-MPR(1) for case that LTE and NR modems know each other’s allocation </w:t>
      </w:r>
      <w:r>
        <w:t>i</w:t>
      </w:r>
      <w:r w:rsidR="00251DF6">
        <w:t xml:space="preserve">t was proposed in </w:t>
      </w:r>
      <w:r>
        <w:t>[3][6][7] that equal power reduction to LTE and NR is applied.</w:t>
      </w:r>
    </w:p>
    <w:p w:rsidR="00306345" w:rsidRDefault="00306345" w:rsidP="00306345">
      <w:r>
        <w:t>Discussion:</w:t>
      </w:r>
    </w:p>
    <w:p w:rsidR="00AE2D93" w:rsidRDefault="00AE2D93" w:rsidP="00306345">
      <w:r>
        <w:t>Chair: are we ok to have equal power reduction for LTE and NR for A-MPR(1)</w:t>
      </w:r>
    </w:p>
    <w:p w:rsidR="00AE2D93" w:rsidRDefault="00AE2D93" w:rsidP="00306345">
      <w:r>
        <w:t>No objection</w:t>
      </w:r>
    </w:p>
    <w:p w:rsidR="00306345" w:rsidRDefault="00306345" w:rsidP="00306345">
      <w:r w:rsidRPr="0081097E">
        <w:rPr>
          <w:b/>
        </w:rPr>
        <w:t>Agreement:</w:t>
      </w:r>
      <w:r w:rsidRPr="00306345">
        <w:t xml:space="preserve"> </w:t>
      </w:r>
    </w:p>
    <w:p w:rsidR="00306345" w:rsidRPr="00AE2D93" w:rsidRDefault="00306345" w:rsidP="00306345">
      <w:pPr>
        <w:pStyle w:val="ListParagraph"/>
        <w:numPr>
          <w:ilvl w:val="0"/>
          <w:numId w:val="13"/>
        </w:numPr>
        <w:rPr>
          <w:highlight w:val="green"/>
        </w:rPr>
      </w:pPr>
      <w:r w:rsidRPr="00AE2D93">
        <w:rPr>
          <w:b/>
          <w:highlight w:val="green"/>
        </w:rPr>
        <w:t>A-MPR(1) for case that LTE and NR modems know each other’s allocation equal power reduction to LTE and NR is applied.</w:t>
      </w:r>
    </w:p>
    <w:p w:rsidR="00306345" w:rsidRPr="00844306" w:rsidRDefault="00306345" w:rsidP="00306345">
      <w:pPr>
        <w:pStyle w:val="ListParagraph"/>
        <w:numPr>
          <w:ilvl w:val="0"/>
          <w:numId w:val="13"/>
        </w:numPr>
        <w:rPr>
          <w:highlight w:val="green"/>
        </w:rPr>
      </w:pPr>
      <w:r w:rsidRPr="00844306">
        <w:rPr>
          <w:b/>
          <w:highlight w:val="green"/>
        </w:rPr>
        <w:t>A-MPR(2) for case that LTE and NR modems do not know each other’s allocation power reduction scheme is</w:t>
      </w:r>
      <w:r w:rsidRPr="00844306">
        <w:rPr>
          <w:highlight w:val="green"/>
        </w:rPr>
        <w:t xml:space="preserve"> such t</w:t>
      </w:r>
      <w:r w:rsidRPr="00844306">
        <w:rPr>
          <w:b/>
          <w:highlight w:val="green"/>
        </w:rPr>
        <w:t>hat worst case assumption should be taken as a function of the allocation in the carrier under test.</w:t>
      </w:r>
    </w:p>
    <w:p w:rsidR="00FE6377" w:rsidRDefault="00FE6377" w:rsidP="00306345"/>
    <w:p w:rsidR="00C735D6" w:rsidRDefault="00C735D6" w:rsidP="00306345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6</w:t>
      </w: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ab/>
      </w:r>
      <w:r w:rsidRPr="00C735D6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A-MPR is defined using allocation ratio (like LTE intraband contiguous CA)</w:t>
      </w:r>
    </w:p>
    <w:p w:rsidR="00FC709E" w:rsidRDefault="00FC709E" w:rsidP="00FC709E">
      <w:r>
        <w:t xml:space="preserve">It was proposed in [5][6] that in case </w:t>
      </w:r>
      <w:r w:rsidRPr="00FC709E">
        <w:t>LTE and NR modems know each other’s allocation</w:t>
      </w:r>
      <w:r>
        <w:t xml:space="preserve"> LTE like allocation ration is used to define A-MPR(1).</w:t>
      </w:r>
      <w:r w:rsidRPr="00FC709E">
        <w:t xml:space="preserve"> </w:t>
      </w:r>
      <w:r>
        <w:t xml:space="preserve">It was proposed in [5] that in case </w:t>
      </w:r>
      <w:r w:rsidRPr="00FC709E">
        <w:t xml:space="preserve">LTE and NR modems </w:t>
      </w:r>
      <w:r>
        <w:t xml:space="preserve">do not </w:t>
      </w:r>
      <w:r w:rsidRPr="00FC709E">
        <w:t>know each other’s allocation</w:t>
      </w:r>
      <w:r>
        <w:t xml:space="preserve"> then </w:t>
      </w:r>
      <w:r w:rsidRPr="00FC709E">
        <w:t>a tabular format might be suitable for specification of A-MPR</w:t>
      </w:r>
      <w:r>
        <w:t>(2)</w:t>
      </w:r>
      <w:r w:rsidR="002C4881">
        <w:t>. In offline discussions it was proposed that same allocation ratio definition can be used for both types of UEs but the allowed A-MPR is read from allocation curve differently.</w:t>
      </w:r>
    </w:p>
    <w:p w:rsidR="00FC709E" w:rsidRDefault="00FC709E" w:rsidP="00FC709E">
      <w:r>
        <w:t>Discussion:</w:t>
      </w:r>
    </w:p>
    <w:p w:rsidR="00D47B61" w:rsidRDefault="00903A01" w:rsidP="00FC709E">
      <w:r>
        <w:t>Qualcomm</w:t>
      </w:r>
      <w:r w:rsidR="00D47B61">
        <w:t>: If NR allocation impacts LTE allocatio</w:t>
      </w:r>
      <w:r>
        <w:t>n it might be against RAN1 assump</w:t>
      </w:r>
      <w:r w:rsidR="00D47B61">
        <w:t>tions.</w:t>
      </w:r>
    </w:p>
    <w:p w:rsidR="00FC709E" w:rsidRDefault="00FC709E" w:rsidP="00FC709E">
      <w:r w:rsidRPr="0081097E">
        <w:rPr>
          <w:b/>
        </w:rPr>
        <w:t>Agreement:</w:t>
      </w:r>
      <w:r w:rsidRPr="00306345">
        <w:t xml:space="preserve"> </w:t>
      </w:r>
    </w:p>
    <w:p w:rsidR="00FC709E" w:rsidRPr="00844306" w:rsidRDefault="00FC709E" w:rsidP="00FC709E">
      <w:pPr>
        <w:pStyle w:val="ListParagraph"/>
        <w:numPr>
          <w:ilvl w:val="0"/>
          <w:numId w:val="13"/>
        </w:numPr>
        <w:rPr>
          <w:highlight w:val="green"/>
        </w:rPr>
      </w:pPr>
      <w:r w:rsidRPr="00844306">
        <w:rPr>
          <w:b/>
          <w:highlight w:val="green"/>
        </w:rPr>
        <w:t>A-MPR(1) for case that LTE and NR modems know each other’s allocation</w:t>
      </w:r>
      <w:r w:rsidRPr="00844306">
        <w:rPr>
          <w:highlight w:val="green"/>
        </w:rPr>
        <w:t xml:space="preserve"> </w:t>
      </w:r>
      <w:r w:rsidRPr="00844306">
        <w:rPr>
          <w:b/>
          <w:highlight w:val="green"/>
        </w:rPr>
        <w:t>LTE like allocation ratio is used to define A-MPR(1) .</w:t>
      </w:r>
    </w:p>
    <w:p w:rsidR="00844306" w:rsidRDefault="00844306" w:rsidP="00FC709E">
      <w:pPr>
        <w:pStyle w:val="ListParagraph"/>
        <w:numPr>
          <w:ilvl w:val="0"/>
          <w:numId w:val="13"/>
        </w:numPr>
        <w:rPr>
          <w:b/>
          <w:highlight w:val="green"/>
        </w:rPr>
      </w:pPr>
      <w:r w:rsidRPr="00844306">
        <w:rPr>
          <w:b/>
          <w:highlight w:val="green"/>
        </w:rPr>
        <w:t>A-MPR(1)</w:t>
      </w:r>
      <w:r w:rsidRPr="00844306">
        <w:rPr>
          <w:b/>
          <w:highlight w:val="green"/>
        </w:rPr>
        <w:t xml:space="preserve"> allocatio</w:t>
      </w:r>
      <w:r w:rsidRPr="00844306">
        <w:rPr>
          <w:b/>
          <w:highlight w:val="green"/>
        </w:rPr>
        <w:t xml:space="preserve">n ratio definition can be used also for A-MPR(2) </w:t>
      </w:r>
      <w:r w:rsidRPr="00844306">
        <w:rPr>
          <w:b/>
          <w:highlight w:val="green"/>
        </w:rPr>
        <w:t>but the allowed A-MPR is read from allocation curve differently</w:t>
      </w:r>
      <w:r w:rsidRPr="00844306">
        <w:rPr>
          <w:b/>
          <w:highlight w:val="green"/>
        </w:rPr>
        <w:t>.</w:t>
      </w:r>
    </w:p>
    <w:p w:rsidR="00D47B61" w:rsidRPr="00844306" w:rsidRDefault="00D47B61" w:rsidP="00FC709E">
      <w:pPr>
        <w:pStyle w:val="ListParagraph"/>
        <w:numPr>
          <w:ilvl w:val="0"/>
          <w:numId w:val="13"/>
        </w:numPr>
        <w:rPr>
          <w:b/>
          <w:highlight w:val="green"/>
        </w:rPr>
      </w:pPr>
      <w:r>
        <w:rPr>
          <w:b/>
          <w:highlight w:val="green"/>
        </w:rPr>
        <w:t>It will be discussed in this meeting if RAN1 LS is needed for the topic raised by Qualcomm.</w:t>
      </w:r>
    </w:p>
    <w:p w:rsidR="00FC709E" w:rsidRDefault="00FC709E" w:rsidP="00FC709E"/>
    <w:p w:rsidR="00FC709E" w:rsidRDefault="00C62CCF" w:rsidP="00C62CCF">
      <w:pPr>
        <w:pStyle w:val="Heading1"/>
        <w:numPr>
          <w:ilvl w:val="0"/>
          <w:numId w:val="6"/>
        </w:numPr>
      </w:pPr>
      <w:r>
        <w:t>New MSD requirements (if time allows)</w:t>
      </w:r>
    </w:p>
    <w:p w:rsidR="00EC3C83" w:rsidRPr="00EC3C83" w:rsidRDefault="00EC3C83" w:rsidP="00EC3C83">
      <w:r>
        <w:t>There were proposals [4] to define additional MSD requirement for non-contiguous re-source allocation.</w:t>
      </w:r>
    </w:p>
    <w:p w:rsidR="00EC3C83" w:rsidRDefault="00EC3C83" w:rsidP="00EC3C83">
      <w:r>
        <w:t>Discussion:</w:t>
      </w:r>
    </w:p>
    <w:p w:rsidR="00D47B61" w:rsidRDefault="00903A01" w:rsidP="00EC3C83">
      <w:r>
        <w:t>Qualcomm: worst case MSD should be specified</w:t>
      </w:r>
    </w:p>
    <w:p w:rsidR="00D47B61" w:rsidRDefault="00AC413C" w:rsidP="00EC3C83">
      <w:r>
        <w:t>LGE: IMD 5 will be the problem.</w:t>
      </w:r>
    </w:p>
    <w:p w:rsidR="00AC413C" w:rsidRDefault="00AC413C" w:rsidP="00EC3C83">
      <w:r>
        <w:t>Skyworks: In Reno we proposed to have allocation in lower part of band so it is kind on middle large MSD.</w:t>
      </w:r>
    </w:p>
    <w:p w:rsidR="00AC413C" w:rsidRDefault="00865DCF" w:rsidP="00EC3C83">
      <w:r>
        <w:t>Ericsson</w:t>
      </w:r>
      <w:r w:rsidR="00AC413C">
        <w:t xml:space="preserve">: This is NF and linearity test and MSD </w:t>
      </w:r>
      <w:r w:rsidR="00903A01">
        <w:t>depends</w:t>
      </w:r>
      <w:r w:rsidR="00AC413C">
        <w:t xml:space="preserve"> also in allocations. </w:t>
      </w:r>
    </w:p>
    <w:p w:rsidR="00903A01" w:rsidRDefault="00903A01" w:rsidP="00EC3C83">
      <w:r>
        <w:t>Chair: Companies to provide proposals to next meeting on non-contiguous MSD test points and requirement</w:t>
      </w:r>
    </w:p>
    <w:p w:rsidR="00EC3C83" w:rsidRDefault="00EC3C83" w:rsidP="00EC3C83">
      <w:r w:rsidRPr="00AC413C">
        <w:rPr>
          <w:b/>
          <w:highlight w:val="green"/>
        </w:rPr>
        <w:t>Agreement:</w:t>
      </w:r>
      <w:r w:rsidRPr="00AC413C">
        <w:rPr>
          <w:highlight w:val="green"/>
        </w:rPr>
        <w:t xml:space="preserve"> </w:t>
      </w:r>
      <w:r w:rsidR="00AC413C" w:rsidRPr="00AC413C">
        <w:rPr>
          <w:highlight w:val="green"/>
        </w:rPr>
        <w:t>There will be non-contiguous MSD defined.</w:t>
      </w:r>
    </w:p>
    <w:p w:rsidR="00C62CCF" w:rsidRDefault="00C62CCF" w:rsidP="00C62CCF"/>
    <w:p w:rsidR="00C62CCF" w:rsidRDefault="00C62CCF" w:rsidP="00EC3C83">
      <w:pPr>
        <w:pStyle w:val="Heading1"/>
        <w:numPr>
          <w:ilvl w:val="0"/>
          <w:numId w:val="6"/>
        </w:numPr>
      </w:pPr>
      <w:r w:rsidRPr="00C62CCF">
        <w:t>New channel bandwidths for DC_(n)71B (if time allows)</w:t>
      </w:r>
    </w:p>
    <w:p w:rsidR="00EC3C83" w:rsidRDefault="00EF40FC" w:rsidP="00EC3C83">
      <w:r>
        <w:t>New channel bandwidths combinations for DC_(n)71B has been proposed in this meeting [8]. Concerns were raised that we do not have MSD requirement for these new CC combinations.</w:t>
      </w:r>
    </w:p>
    <w:p w:rsidR="00653147" w:rsidRDefault="00653147" w:rsidP="00653147">
      <w:r>
        <w:t>TMO has prepared a WF proposal, see the attachment.</w:t>
      </w:r>
    </w:p>
    <w:bookmarkStart w:id="6" w:name="_MON_1585474324"/>
    <w:bookmarkEnd w:id="6"/>
    <w:p w:rsidR="00653147" w:rsidRDefault="00653147" w:rsidP="00653147">
      <w:r>
        <w:object w:dxaOrig="1513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35pt;height:50pt" o:ole="">
            <v:imagedata r:id="rId7" o:title=""/>
          </v:shape>
          <o:OLEObject Type="Embed" ProgID="PowerPoint.Show.8" ShapeID="_x0000_i1025" DrawAspect="Icon" ObjectID="_1585606205" r:id="rId8"/>
        </w:object>
      </w:r>
    </w:p>
    <w:p w:rsidR="00653147" w:rsidRDefault="00653147" w:rsidP="00EC3C83"/>
    <w:p w:rsidR="00EF40FC" w:rsidRDefault="00EF40FC" w:rsidP="00EF40FC">
      <w:r>
        <w:t>Discussion:</w:t>
      </w:r>
    </w:p>
    <w:p w:rsidR="00903A01" w:rsidRDefault="00903A01" w:rsidP="00EF40FC">
      <w:r>
        <w:t>No time to discuss</w:t>
      </w:r>
    </w:p>
    <w:p w:rsidR="00653147" w:rsidRDefault="00EF40FC" w:rsidP="00EF40FC">
      <w:r w:rsidRPr="0081097E">
        <w:rPr>
          <w:b/>
        </w:rPr>
        <w:t>Agreement:</w:t>
      </w:r>
      <w:r w:rsidRPr="00306345">
        <w:t xml:space="preserve"> </w:t>
      </w:r>
    </w:p>
    <w:p w:rsidR="00EF40FC" w:rsidRDefault="00EF40FC" w:rsidP="00EF40FC"/>
    <w:p w:rsidR="00C41555" w:rsidRDefault="00C41555" w:rsidP="00C41555">
      <w:pPr>
        <w:pStyle w:val="Heading1"/>
        <w:numPr>
          <w:ilvl w:val="0"/>
          <w:numId w:val="6"/>
        </w:numPr>
      </w:pPr>
      <w:r>
        <w:t>MTTD</w:t>
      </w:r>
    </w:p>
    <w:p w:rsidR="00C41555" w:rsidRPr="00C41555" w:rsidRDefault="00C41555" w:rsidP="00C41555">
      <w:r>
        <w:t>What is the assumption for MTTD for DC_(n)71B.</w:t>
      </w:r>
    </w:p>
    <w:p w:rsidR="00C41555" w:rsidRDefault="00C41555" w:rsidP="00C41555">
      <w:r>
        <w:t>Discussion:</w:t>
      </w:r>
    </w:p>
    <w:p w:rsidR="00903A01" w:rsidRDefault="00903A01" w:rsidP="00903A01">
      <w:r>
        <w:t>No time to discuss</w:t>
      </w:r>
    </w:p>
    <w:p w:rsidR="00C41555" w:rsidRDefault="00C41555" w:rsidP="00C41555">
      <w:r w:rsidRPr="0081097E">
        <w:rPr>
          <w:b/>
        </w:rPr>
        <w:t>Agreement:</w:t>
      </w:r>
      <w:r w:rsidRPr="00306345">
        <w:t xml:space="preserve"> </w:t>
      </w:r>
    </w:p>
    <w:p w:rsidR="00EF40FC" w:rsidRPr="00EC3C83" w:rsidRDefault="00EF40FC" w:rsidP="00EC3C83"/>
    <w:p w:rsidR="00FE6377" w:rsidRDefault="00FE6377" w:rsidP="00FE6377">
      <w:pPr>
        <w:pStyle w:val="Heading1"/>
      </w:pPr>
      <w:r>
        <w:t>References</w:t>
      </w:r>
    </w:p>
    <w:p w:rsidR="00FE6377" w:rsidRDefault="00FE6377" w:rsidP="00FE6377">
      <w:r>
        <w:t xml:space="preserve">[1] </w:t>
      </w:r>
      <w:r w:rsidRPr="00FE6377">
        <w:t>R4-1805323</w:t>
      </w:r>
      <w:r w:rsidRPr="00FE6377">
        <w:tab/>
        <w:t>Performance comparison of single Tx and dual Tx for intra-band EN-DC</w:t>
      </w:r>
      <w:r w:rsidRPr="00FE6377">
        <w:tab/>
        <w:t>Apple</w:t>
      </w:r>
    </w:p>
    <w:p w:rsidR="00FE6377" w:rsidRDefault="00FE6377" w:rsidP="00FE6377">
      <w:r>
        <w:t xml:space="preserve">[2] </w:t>
      </w:r>
      <w:r w:rsidRPr="00FE6377">
        <w:t>R4-1805411</w:t>
      </w:r>
      <w:r w:rsidRPr="00FE6377">
        <w:tab/>
        <w:t>The need of FR1 single-switched UL for EN-DC</w:t>
      </w:r>
      <w:r w:rsidRPr="00FE6377">
        <w:tab/>
      </w:r>
      <w:r>
        <w:tab/>
      </w:r>
      <w:r w:rsidRPr="00FE6377">
        <w:t>Apple</w:t>
      </w:r>
    </w:p>
    <w:p w:rsidR="00FE6377" w:rsidRDefault="00FE6377" w:rsidP="00FE6377">
      <w:r>
        <w:t xml:space="preserve">[3] </w:t>
      </w:r>
      <w:r w:rsidRPr="00FE6377">
        <w:t>R4-1803981</w:t>
      </w:r>
      <w:r w:rsidRPr="00FE6377">
        <w:tab/>
        <w:t xml:space="preserve">EN-DC_(n)71B RF architecture and required MPR/A-MPR analysis </w:t>
      </w:r>
      <w:r w:rsidRPr="00FE6377">
        <w:tab/>
        <w:t>LG Electronics France</w:t>
      </w:r>
    </w:p>
    <w:p w:rsidR="00FE6377" w:rsidRDefault="00FE6377" w:rsidP="00FE6377">
      <w:r>
        <w:t xml:space="preserve">[4] </w:t>
      </w:r>
      <w:r w:rsidR="00AA17FC" w:rsidRPr="00AA17FC">
        <w:t>R4-1805464</w:t>
      </w:r>
      <w:r w:rsidR="00AA17FC" w:rsidRPr="00AA17FC">
        <w:tab/>
        <w:t>Reference sensitivity for DC_(n)71B with non-contiguous uplink allocations</w:t>
      </w:r>
      <w:r w:rsidR="00AA17FC" w:rsidRPr="00AA17FC">
        <w:tab/>
        <w:t>Qualcomm Incorporated</w:t>
      </w:r>
    </w:p>
    <w:p w:rsidR="00AA17FC" w:rsidRDefault="00AA17FC" w:rsidP="00FE6377">
      <w:r>
        <w:t xml:space="preserve">[5] </w:t>
      </w:r>
      <w:r w:rsidRPr="00AA17FC">
        <w:t>R4-1805466</w:t>
      </w:r>
      <w:r w:rsidRPr="00AA17FC">
        <w:tab/>
        <w:t>Specification and indication of A-MPR support for DC_(n)71B</w:t>
      </w:r>
      <w:r w:rsidRPr="00AA17FC">
        <w:tab/>
      </w:r>
      <w:r>
        <w:tab/>
      </w:r>
      <w:r w:rsidRPr="00AA17FC">
        <w:t>Qualcomm Incorporated</w:t>
      </w:r>
    </w:p>
    <w:p w:rsidR="00AA17FC" w:rsidRDefault="00AA17FC" w:rsidP="00FE6377">
      <w:r>
        <w:t xml:space="preserve">[6] </w:t>
      </w:r>
      <w:r w:rsidRPr="00AA17FC">
        <w:t>R4-1804158</w:t>
      </w:r>
      <w:r w:rsidRPr="00AA17FC">
        <w:tab/>
        <w:t>(n)71B MPR/A-MPR consideration</w:t>
      </w:r>
      <w:r w:rsidRPr="00AA17FC">
        <w:tab/>
      </w:r>
      <w:r>
        <w:tab/>
      </w:r>
      <w:r>
        <w:tab/>
      </w:r>
      <w:r w:rsidRPr="00AA17FC">
        <w:t>Intel Corporation</w:t>
      </w:r>
    </w:p>
    <w:p w:rsidR="009C1A1C" w:rsidRDefault="009C1A1C" w:rsidP="00FE6377">
      <w:r>
        <w:t xml:space="preserve">[7] </w:t>
      </w:r>
      <w:r w:rsidRPr="009C1A1C">
        <w:t>R4-1804026</w:t>
      </w:r>
      <w:r w:rsidRPr="009C1A1C">
        <w:tab/>
        <w:t>A-MPR for DC_(n)71B</w:t>
      </w:r>
      <w:r w:rsidRPr="009C1A1C">
        <w:tab/>
      </w:r>
      <w:r>
        <w:tab/>
      </w:r>
      <w:r>
        <w:tab/>
      </w:r>
      <w:r>
        <w:tab/>
      </w:r>
      <w:r w:rsidRPr="009C1A1C">
        <w:t>Nokia</w:t>
      </w:r>
    </w:p>
    <w:p w:rsidR="00FE6377" w:rsidRDefault="009C1A1C" w:rsidP="00FE6377">
      <w:r>
        <w:t xml:space="preserve">[8] </w:t>
      </w:r>
      <w:r w:rsidR="00FE6377" w:rsidRPr="00FE6377">
        <w:t>R4-1803955</w:t>
      </w:r>
      <w:r w:rsidR="00EF40FC">
        <w:t xml:space="preserve">, </w:t>
      </w:r>
      <w:r w:rsidR="00FE6377" w:rsidRPr="00FE6377">
        <w:t>BCS for Intra-band EN-DC and for DC_(n)71B</w:t>
      </w:r>
      <w:r w:rsidR="00FE6377" w:rsidRPr="00FE6377">
        <w:tab/>
      </w:r>
      <w:r w:rsidR="00710392">
        <w:tab/>
      </w:r>
      <w:r w:rsidR="00710392">
        <w:tab/>
      </w:r>
      <w:r w:rsidR="00FE6377" w:rsidRPr="00FE6377">
        <w:t>T-Mobile USA Inc.</w:t>
      </w:r>
    </w:p>
    <w:p w:rsidR="00710392" w:rsidRDefault="00710392" w:rsidP="00710392">
      <w:r>
        <w:t xml:space="preserve">[9] </w:t>
      </w:r>
      <w:r w:rsidRPr="00710392">
        <w:t>R4-1802243</w:t>
      </w:r>
      <w:r>
        <w:t xml:space="preserve">, </w:t>
      </w:r>
      <w:r w:rsidRPr="00710392">
        <w:t>Measurements of power backoff requirements for DC_(n)71B with single PA</w:t>
      </w:r>
      <w:r>
        <w:t xml:space="preserve">, </w:t>
      </w:r>
      <w:r w:rsidRPr="00AA17FC">
        <w:t>Qualcomm Incorporated</w:t>
      </w:r>
    </w:p>
    <w:p w:rsidR="008D4B57" w:rsidRDefault="008D4B57" w:rsidP="00710392">
      <w:r>
        <w:lastRenderedPageBreak/>
        <w:t xml:space="preserve">[10] </w:t>
      </w:r>
      <w:r w:rsidRPr="008D4B57">
        <w:t>R4-1804260</w:t>
      </w:r>
      <w:r w:rsidR="00C31999">
        <w:t xml:space="preserve">, </w:t>
      </w:r>
      <w:r w:rsidR="00C31999" w:rsidRPr="00C31999">
        <w:t>Power back-off and RX desense for intra-band EN-DC</w:t>
      </w:r>
      <w:r w:rsidR="00C31999">
        <w:t xml:space="preserve">, </w:t>
      </w:r>
      <w:r w:rsidR="00C31999">
        <w:tab/>
      </w:r>
      <w:r w:rsidR="00C31999">
        <w:tab/>
        <w:t>Ericsson</w:t>
      </w:r>
    </w:p>
    <w:p w:rsidR="00710392" w:rsidRPr="00FE6377" w:rsidRDefault="00710392" w:rsidP="00FE6377"/>
    <w:sectPr w:rsidR="00710392" w:rsidRPr="00FE63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DE7" w:rsidRDefault="00A92DE7" w:rsidP="00AF3299">
      <w:pPr>
        <w:spacing w:after="0"/>
      </w:pPr>
      <w:r>
        <w:separator/>
      </w:r>
    </w:p>
  </w:endnote>
  <w:endnote w:type="continuationSeparator" w:id="0">
    <w:p w:rsidR="00A92DE7" w:rsidRDefault="00A92DE7" w:rsidP="00AF32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DE7" w:rsidRDefault="00A92DE7" w:rsidP="00AF3299">
      <w:pPr>
        <w:spacing w:after="0"/>
      </w:pPr>
      <w:r>
        <w:separator/>
      </w:r>
    </w:p>
  </w:footnote>
  <w:footnote w:type="continuationSeparator" w:id="0">
    <w:p w:rsidR="00A92DE7" w:rsidRDefault="00A92DE7" w:rsidP="00AF32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867"/>
    <w:multiLevelType w:val="hybridMultilevel"/>
    <w:tmpl w:val="4EDE17A2"/>
    <w:lvl w:ilvl="0" w:tplc="7994BC2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54B1B"/>
    <w:multiLevelType w:val="hybridMultilevel"/>
    <w:tmpl w:val="39D06224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D0059D"/>
    <w:multiLevelType w:val="hybridMultilevel"/>
    <w:tmpl w:val="F4446DB6"/>
    <w:lvl w:ilvl="0" w:tplc="0E64677E">
      <w:start w:val="1"/>
      <w:numFmt w:val="decimal"/>
      <w:lvlText w:val="%1."/>
      <w:lvlJc w:val="left"/>
      <w:pPr>
        <w:ind w:left="1668" w:hanging="130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62EF2"/>
    <w:multiLevelType w:val="hybridMultilevel"/>
    <w:tmpl w:val="6FCC79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4600B"/>
    <w:multiLevelType w:val="hybridMultilevel"/>
    <w:tmpl w:val="9252E2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F2170"/>
    <w:multiLevelType w:val="hybridMultilevel"/>
    <w:tmpl w:val="D7486C5C"/>
    <w:lvl w:ilvl="0" w:tplc="4EAC7DB4">
      <w:start w:val="1"/>
      <w:numFmt w:val="decimal"/>
      <w:lvlText w:val="%1"/>
      <w:lvlJc w:val="left"/>
      <w:pPr>
        <w:ind w:left="1308" w:hanging="130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CE179D"/>
    <w:multiLevelType w:val="hybridMultilevel"/>
    <w:tmpl w:val="39D06224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AD64B7"/>
    <w:multiLevelType w:val="hybridMultilevel"/>
    <w:tmpl w:val="39D06224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364A31"/>
    <w:multiLevelType w:val="hybridMultilevel"/>
    <w:tmpl w:val="225C7A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E5095"/>
    <w:multiLevelType w:val="hybridMultilevel"/>
    <w:tmpl w:val="30EAD9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1729F"/>
    <w:multiLevelType w:val="hybridMultilevel"/>
    <w:tmpl w:val="1AFED064"/>
    <w:lvl w:ilvl="0" w:tplc="0E64677E">
      <w:start w:val="1"/>
      <w:numFmt w:val="decimal"/>
      <w:lvlText w:val="%1."/>
      <w:lvlJc w:val="left"/>
      <w:pPr>
        <w:ind w:left="1668" w:hanging="130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B4895"/>
    <w:multiLevelType w:val="hybridMultilevel"/>
    <w:tmpl w:val="C6AE8656"/>
    <w:lvl w:ilvl="0" w:tplc="0E64677E">
      <w:start w:val="1"/>
      <w:numFmt w:val="decimal"/>
      <w:lvlText w:val="%1."/>
      <w:lvlJc w:val="left"/>
      <w:pPr>
        <w:ind w:left="1668" w:hanging="130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C4EF7"/>
    <w:multiLevelType w:val="hybridMultilevel"/>
    <w:tmpl w:val="524C98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80452"/>
    <w:multiLevelType w:val="hybridMultilevel"/>
    <w:tmpl w:val="B9EAD82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6"/>
  </w:num>
  <w:num w:numId="8">
    <w:abstractNumId w:val="9"/>
  </w:num>
  <w:num w:numId="9">
    <w:abstractNumId w:val="12"/>
  </w:num>
  <w:num w:numId="10">
    <w:abstractNumId w:val="1"/>
  </w:num>
  <w:num w:numId="11">
    <w:abstractNumId w:val="0"/>
  </w:num>
  <w:num w:numId="12">
    <w:abstractNumId w:val="3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99"/>
    <w:rsid w:val="0007720A"/>
    <w:rsid w:val="0010480D"/>
    <w:rsid w:val="001053B3"/>
    <w:rsid w:val="00177824"/>
    <w:rsid w:val="00246B2D"/>
    <w:rsid w:val="00251DF6"/>
    <w:rsid w:val="0027658D"/>
    <w:rsid w:val="002B3EF7"/>
    <w:rsid w:val="002C4881"/>
    <w:rsid w:val="002F2BFE"/>
    <w:rsid w:val="00306345"/>
    <w:rsid w:val="00330EBD"/>
    <w:rsid w:val="003502D3"/>
    <w:rsid w:val="00353939"/>
    <w:rsid w:val="005046AD"/>
    <w:rsid w:val="00587539"/>
    <w:rsid w:val="005C760F"/>
    <w:rsid w:val="0061096F"/>
    <w:rsid w:val="00653147"/>
    <w:rsid w:val="006A0218"/>
    <w:rsid w:val="006A08C2"/>
    <w:rsid w:val="00710392"/>
    <w:rsid w:val="00744B5C"/>
    <w:rsid w:val="0081097E"/>
    <w:rsid w:val="00835046"/>
    <w:rsid w:val="00844306"/>
    <w:rsid w:val="00865DCF"/>
    <w:rsid w:val="008D4B57"/>
    <w:rsid w:val="008E376A"/>
    <w:rsid w:val="008E41B0"/>
    <w:rsid w:val="008E700D"/>
    <w:rsid w:val="00903A01"/>
    <w:rsid w:val="00921B61"/>
    <w:rsid w:val="009301FA"/>
    <w:rsid w:val="009C1A1C"/>
    <w:rsid w:val="00A03737"/>
    <w:rsid w:val="00A169FF"/>
    <w:rsid w:val="00A81E43"/>
    <w:rsid w:val="00A83CE4"/>
    <w:rsid w:val="00A92DE7"/>
    <w:rsid w:val="00AA17FC"/>
    <w:rsid w:val="00AC413C"/>
    <w:rsid w:val="00AE2D93"/>
    <w:rsid w:val="00AF3299"/>
    <w:rsid w:val="00B21565"/>
    <w:rsid w:val="00B3696D"/>
    <w:rsid w:val="00C31999"/>
    <w:rsid w:val="00C41555"/>
    <w:rsid w:val="00C44CEF"/>
    <w:rsid w:val="00C62CCF"/>
    <w:rsid w:val="00C735D6"/>
    <w:rsid w:val="00D47B61"/>
    <w:rsid w:val="00D76EC1"/>
    <w:rsid w:val="00D9277C"/>
    <w:rsid w:val="00EB06B3"/>
    <w:rsid w:val="00EC3C83"/>
    <w:rsid w:val="00EF40FC"/>
    <w:rsid w:val="00F37DAB"/>
    <w:rsid w:val="00F66BF3"/>
    <w:rsid w:val="00FC709E"/>
    <w:rsid w:val="00FE6377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FAFA9E"/>
  <w15:chartTrackingRefBased/>
  <w15:docId w15:val="{661FFE0F-9D0B-4591-8267-A056391F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32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63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2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3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Paragraph">
    <w:name w:val="List Paragraph"/>
    <w:basedOn w:val="Normal"/>
    <w:uiPriority w:val="34"/>
    <w:qFormat/>
    <w:rsid w:val="00FE637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A02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PowerPoint_97-2003_Presentation.ppt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1089</Words>
  <Characters>8828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 Vasenkari</dc:creator>
  <cp:keywords/>
  <dc:description/>
  <cp:lastModifiedBy>Petri Vasenkari</cp:lastModifiedBy>
  <cp:revision>2</cp:revision>
  <dcterms:created xsi:type="dcterms:W3CDTF">2018-04-18T22:23:00Z</dcterms:created>
  <dcterms:modified xsi:type="dcterms:W3CDTF">2018-04-18T22:23:00Z</dcterms:modified>
</cp:coreProperties>
</file>